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2A" w:rsidRDefault="0043302A" w:rsidP="0043302A">
      <w:pPr>
        <w:tabs>
          <w:tab w:val="left" w:pos="2340"/>
        </w:tabs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36"/>
        </w:rPr>
      </w:pP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全省党校（行政学院）教师系列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职称评审“核心期刊”目录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720"/>
        <w:jc w:val="center"/>
        <w:rPr>
          <w:rFonts w:eastAsia="方正小标宋简体" w:hint="eastAsia"/>
          <w:bCs/>
          <w:sz w:val="36"/>
          <w:szCs w:val="36"/>
        </w:rPr>
      </w:pP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一、权威核心报纸期刊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求是、人民日报、光明日报、经济日报、解放军报、中国社会科学、新华文摘、马克思主义研究、理论动态、中国社会科学文摘、中国人民大学学报、北京大学学报、中共中央党校（国家行政学院）学报、哲学研究、哲学动态、自然辩证法研究、经济研究、经济学动态、科学社会主义、当代世界与社会主义、中共党史研究、中国行政管理、管理世界、党建研究、政治学研究、法学研究、中国法学、世界经济与政治、社会学研究、中国文化研究、历史研究、民族研究、世界宗教研究、文学评论、编辑学报、中国图书馆学报。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二、重要核心报纸期刊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中国人民大学报刊复印资料、学习时报（正刊）、中国党政干部论坛、中国社会科学报、中国浦东干部学院学报、中国延安干部学院学报、中国井冈山干部学院学报、教育部“名刊工程”刊物。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同时收入北京大学中文核心期刊目录和南京大学CSSCI来源期刊（集刊）目录的学术期刊。中央部委和新华社总社、人民日报社、光明日报社、求是杂志社以及中央党校主办的</w:t>
      </w:r>
      <w:r>
        <w:rPr>
          <w:rFonts w:ascii="仿宋" w:eastAsia="仿宋" w:hAnsi="仿宋" w:hint="eastAsia"/>
          <w:sz w:val="32"/>
          <w:szCs w:val="32"/>
        </w:rPr>
        <w:lastRenderedPageBreak/>
        <w:t>内参或内部资料等咨政性刊物。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三、一般核心报纸期刊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入选北京大学图书馆《中文核心期刊要目总览》、南京大学中国社会科学研究评价中心《CSSCI来源期刊目录》《CSSCI收录集刊名单》、中国社会科学院《中国人文社会科学核心期刊要览》的专业期刊。入选中国科学院国家科学图书馆《中国科学引文数据库来源期刊列表核心库》、中国科学技术信息研究所《中国科技论文统计源期刊（中国科技核心期刊）目录》的专业期刊，以及被SCI、EI、ISTP、SSCI收录或CSCD源期刊发表的专业期刊参照执行； 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2.各省、自治区、直辖市党报（理论版）；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3.《人民政协报》《中国纪检监察报》，国家各部委、各民主党派中央及全国性人民团体主办的期刊和报纸（理论版）；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4.省级党政机关主办的内参或内部资料等咨政性刊物； </w:t>
      </w:r>
    </w:p>
    <w:p w:rsidR="0043302A" w:rsidRDefault="0043302A" w:rsidP="0043302A">
      <w:pPr>
        <w:tabs>
          <w:tab w:val="left" w:pos="2340"/>
        </w:tabs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5.国家一级学会主办的会刊；</w:t>
      </w:r>
    </w:p>
    <w:p w:rsidR="0043302A" w:rsidRDefault="0043302A" w:rsidP="0043302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6.《当代陕西》（正刊）。</w:t>
      </w:r>
      <w:bookmarkStart w:id="0" w:name="_GoBack"/>
      <w:bookmarkEnd w:id="0"/>
    </w:p>
    <w:p w:rsidR="00A40001" w:rsidRDefault="00A40001"/>
    <w:sectPr w:rsidR="00A4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29"/>
    <w:rsid w:val="00091D29"/>
    <w:rsid w:val="0043302A"/>
    <w:rsid w:val="00A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6A290-28AB-4209-BCFF-2CDE33D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2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Lenovo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2023-10-12T06:53:00Z</dcterms:created>
  <dcterms:modified xsi:type="dcterms:W3CDTF">2023-10-12T06:53:00Z</dcterms:modified>
</cp:coreProperties>
</file>