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pStyle w:val="2"/>
        <w:widowControl/>
        <w:spacing w:beforeAutospacing="0" w:afterAutospacing="0" w:line="600" w:lineRule="exact"/>
        <w:jc w:val="center"/>
        <w:rPr>
          <w:rFonts w:hint="eastAsia" w:ascii="方正小标宋简体" w:hAnsi="黑体" w:eastAsia="方正小标宋简体" w:cs="仿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"/>
          <w:color w:val="000000"/>
          <w:sz w:val="44"/>
          <w:szCs w:val="44"/>
        </w:rPr>
        <w:t>2018年度全国党校（行政学院）系统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hint="eastAsia" w:ascii="方正小标宋简体" w:hAnsi="黑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仿宋"/>
          <w:color w:val="000000"/>
          <w:sz w:val="44"/>
          <w:szCs w:val="44"/>
        </w:rPr>
        <w:t>重点调研课题选题方向</w:t>
      </w:r>
    </w:p>
    <w:bookmarkEnd w:id="0"/>
    <w:p>
      <w:pPr>
        <w:pStyle w:val="2"/>
        <w:widowControl/>
        <w:spacing w:beforeAutospacing="0" w:afterAutospacing="0" w:line="578" w:lineRule="exact"/>
        <w:ind w:firstLine="482" w:firstLineChars="200"/>
        <w:jc w:val="both"/>
        <w:rPr>
          <w:b/>
          <w:bCs/>
          <w:color w:val="000000"/>
        </w:rPr>
      </w:pP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1.习近平新时代中国特色社会主义思想分领域研究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2.全面建成社会主义现代化强国的战略研究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3.改革开放40年主要经验及推进全面深化改革研究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4.打赢防范化解重大风险、精准脱贫、污染防治三大攻坚战研究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5.实施乡村振兴战略研究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6.推动“一带一路”建设研究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7.深化国家监察体制改革研究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8.新时代深入推进全面从严治党研究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9.推进国家治理体系和治理能力现代化研究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10.推进生态文明建设研究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11.新形势下基层党建工作创新研究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12.全面深化国有企业改革研究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13.加强国家创新体系建设研究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14.推动人类命运共同体建设研究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1393"/>
    <w:rsid w:val="49B413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2018-05-03T03:16:00Z</dcterms:created>
  <dc:creator>竹因</dc:creator>
  <cp:lastModifiedBy>竹因</cp:lastModifiedBy>
  <dcterms:modified xsi:type="dcterms:W3CDTF">2018-05-03T03:18:33Z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