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78" w:lineRule="exact"/>
        <w:jc w:val="both"/>
        <w:rPr>
          <w:rFonts w:hint="eastAsia"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附件1</w:t>
      </w:r>
    </w:p>
    <w:p>
      <w:pPr>
        <w:pStyle w:val="2"/>
        <w:widowControl/>
        <w:spacing w:beforeAutospacing="0" w:afterAutospacing="0" w:line="60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10"/>
          <w:sz w:val="44"/>
          <w:szCs w:val="44"/>
        </w:rPr>
      </w:pPr>
    </w:p>
    <w:p>
      <w:pPr>
        <w:pStyle w:val="2"/>
        <w:widowControl/>
        <w:spacing w:beforeAutospacing="0" w:afterAutospacing="0" w:line="60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1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-10"/>
          <w:sz w:val="44"/>
          <w:szCs w:val="44"/>
        </w:rPr>
        <w:t>201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44"/>
          <w:szCs w:val="44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44"/>
          <w:szCs w:val="44"/>
        </w:rPr>
        <w:t>年度全国</w:t>
      </w:r>
      <w:r>
        <w:rPr>
          <w:rFonts w:hint="eastAsia" w:ascii="宋体" w:hAnsi="宋体" w:cs="宋体"/>
          <w:b/>
          <w:bCs/>
          <w:color w:val="000000"/>
          <w:spacing w:val="-10"/>
          <w:sz w:val="44"/>
          <w:szCs w:val="44"/>
          <w:lang w:eastAsia="zh-CN"/>
        </w:rPr>
        <w:t>地方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44"/>
          <w:szCs w:val="44"/>
        </w:rPr>
        <w:t>党校</w:t>
      </w:r>
      <w:r>
        <w:rPr>
          <w:rFonts w:hint="eastAsia" w:ascii="宋体" w:hAnsi="宋体" w:eastAsia="宋体" w:cs="宋体"/>
          <w:b/>
          <w:bCs/>
          <w:color w:val="000000"/>
          <w:spacing w:val="-10"/>
          <w:sz w:val="44"/>
          <w:szCs w:val="44"/>
          <w:lang w:eastAsia="zh-CN"/>
        </w:rPr>
        <w:t>（行政学院）</w:t>
      </w:r>
    </w:p>
    <w:p>
      <w:pPr>
        <w:pStyle w:val="2"/>
        <w:widowControl/>
        <w:spacing w:beforeAutospacing="0" w:afterAutospacing="0" w:line="600" w:lineRule="exact"/>
        <w:jc w:val="center"/>
        <w:rPr>
          <w:rFonts w:hint="eastAsia" w:ascii="宋体" w:hAnsi="宋体" w:eastAsia="宋体" w:cs="宋体"/>
          <w:b/>
          <w:bCs/>
          <w:color w:val="000000"/>
          <w:spacing w:val="-1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-10"/>
          <w:sz w:val="44"/>
          <w:szCs w:val="44"/>
        </w:rPr>
        <w:t>重点调研课题选题方向</w:t>
      </w:r>
    </w:p>
    <w:p>
      <w:pPr>
        <w:pStyle w:val="2"/>
        <w:widowControl/>
        <w:spacing w:beforeAutospacing="0" w:afterAutospacing="0" w:line="578" w:lineRule="exact"/>
        <w:ind w:firstLine="883" w:firstLineChars="200"/>
        <w:jc w:val="both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</w:p>
    <w:p>
      <w:pPr>
        <w:widowControl w:val="0"/>
        <w:numPr>
          <w:ilvl w:val="0"/>
          <w:numId w:val="0"/>
        </w:numPr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习近平新时代中国特色社会主义思想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总体性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研究</w:t>
      </w:r>
    </w:p>
    <w:p>
      <w:pPr>
        <w:widowControl w:val="0"/>
        <w:numPr>
          <w:ilvl w:val="0"/>
          <w:numId w:val="0"/>
        </w:numPr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习近平新时代中国特色社会主义思想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分领域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研究</w:t>
      </w:r>
    </w:p>
    <w:p>
      <w:pPr>
        <w:widowControl w:val="0"/>
        <w:numPr>
          <w:ilvl w:val="0"/>
          <w:numId w:val="0"/>
        </w:numPr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3、习近平地方领导实践研究</w:t>
      </w:r>
    </w:p>
    <w:p>
      <w:pPr>
        <w:widowControl w:val="0"/>
        <w:numPr>
          <w:ilvl w:val="0"/>
          <w:numId w:val="0"/>
        </w:numPr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新中国成立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70周年分专题研究</w:t>
      </w:r>
    </w:p>
    <w:p>
      <w:pPr>
        <w:widowControl w:val="0"/>
        <w:numPr>
          <w:ilvl w:val="0"/>
          <w:numId w:val="0"/>
        </w:numPr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5、着力防范化解各领域重大风险研究</w:t>
      </w:r>
    </w:p>
    <w:p>
      <w:pPr>
        <w:widowControl w:val="0"/>
        <w:numPr>
          <w:ilvl w:val="0"/>
          <w:numId w:val="0"/>
        </w:numPr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6、加强党的政治建设研究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7、发扬斗争精神提高斗争本领研究</w:t>
      </w:r>
    </w:p>
    <w:p>
      <w:pPr>
        <w:widowControl w:val="0"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推动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经济高质量发展研究</w:t>
      </w:r>
    </w:p>
    <w:p>
      <w:pPr>
        <w:widowControl/>
        <w:wordWrap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9、</w:t>
      </w:r>
      <w:r>
        <w:rPr>
          <w:rFonts w:hint="eastAsia" w:ascii="仿宋_GB2312" w:eastAsia="仿宋_GB2312"/>
          <w:sz w:val="32"/>
          <w:szCs w:val="32"/>
        </w:rPr>
        <w:t>区域协调发展战略研究</w:t>
      </w:r>
    </w:p>
    <w:p>
      <w:pPr>
        <w:widowControl/>
        <w:wordWrap/>
        <w:adjustRightInd/>
        <w:snapToGrid/>
        <w:spacing w:beforeAutospacing="0" w:afterAutospacing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、全面深化国有企业改革研究</w:t>
      </w:r>
    </w:p>
    <w:p>
      <w:pPr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仿宋"/>
          <w:sz w:val="32"/>
          <w:szCs w:val="32"/>
        </w:rPr>
        <w:t>民营经济发展研究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乡村振兴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战略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研究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13、</w:t>
      </w:r>
      <w:r>
        <w:rPr>
          <w:rFonts w:hint="eastAsia" w:ascii="仿宋" w:hAnsi="仿宋" w:eastAsia="仿宋" w:cs="仿宋"/>
          <w:sz w:val="32"/>
          <w:szCs w:val="32"/>
        </w:rPr>
        <w:t>脱贫攻坚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战略</w:t>
      </w:r>
      <w:r>
        <w:rPr>
          <w:rFonts w:hint="eastAsia" w:ascii="仿宋" w:hAnsi="仿宋" w:eastAsia="仿宋" w:cs="仿宋"/>
          <w:sz w:val="32"/>
          <w:szCs w:val="32"/>
        </w:rPr>
        <w:t>研究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14、基层社会治理研究</w:t>
      </w:r>
    </w:p>
    <w:p>
      <w:pPr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生态文明建设研究</w:t>
      </w:r>
    </w:p>
    <w:p>
      <w:pPr>
        <w:widowControl w:val="0"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、城市建设和城市治理研究</w:t>
      </w:r>
    </w:p>
    <w:p>
      <w:pPr>
        <w:widowControl w:val="0"/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深化监察体制改革研究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18、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基层党组织建设研究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19、文化自信和文化强国建设研究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20、铸牢中华民族共同体意识研究</w:t>
      </w:r>
    </w:p>
    <w:p>
      <w:pPr>
        <w:widowControl w:val="0"/>
        <w:numPr>
          <w:ilvl w:val="0"/>
          <w:numId w:val="0"/>
        </w:numPr>
        <w:wordWrap w:val="0"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auto"/>
          <w:position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21、</w:t>
      </w:r>
      <w:r>
        <w:rPr>
          <w:rFonts w:hint="eastAsia" w:ascii="仿宋_GB2312" w:eastAsia="仿宋_GB2312"/>
          <w:sz w:val="32"/>
          <w:szCs w:val="32"/>
        </w:rPr>
        <w:t>边疆治理与稳定</w:t>
      </w:r>
      <w:r>
        <w:rPr>
          <w:rFonts w:hint="eastAsia" w:ascii="仿宋_GB2312" w:eastAsia="仿宋_GB2312"/>
          <w:sz w:val="32"/>
          <w:szCs w:val="32"/>
          <w:lang w:eastAsia="zh-CN"/>
        </w:rPr>
        <w:t>研究</w:t>
      </w:r>
    </w:p>
    <w:p>
      <w:pPr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22、</w:t>
      </w:r>
      <w:r>
        <w:rPr>
          <w:rFonts w:hint="eastAsia" w:ascii="仿宋" w:hAnsi="仿宋" w:eastAsia="仿宋" w:cs="仿宋"/>
          <w:sz w:val="32"/>
          <w:szCs w:val="32"/>
        </w:rPr>
        <w:t>新时代坚持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一国两制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和推进祖国统一基本方略研究</w:t>
      </w:r>
    </w:p>
    <w:p>
      <w:pPr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23、推进</w:t>
      </w:r>
      <w:r>
        <w:rPr>
          <w:rFonts w:hint="eastAsia" w:ascii="仿宋" w:hAnsi="仿宋" w:eastAsia="仿宋" w:cs="仿宋"/>
          <w:sz w:val="32"/>
          <w:szCs w:val="32"/>
        </w:rPr>
        <w:t>“一带一路”研究</w:t>
      </w:r>
    </w:p>
    <w:p>
      <w:pPr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24、青年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干部成长规律研究</w:t>
      </w:r>
    </w:p>
    <w:p>
      <w:pPr>
        <w:adjustRightInd/>
        <w:snapToGrid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25、</w:t>
      </w:r>
      <w:r>
        <w:rPr>
          <w:rFonts w:hint="eastAsia" w:ascii="仿宋" w:hAnsi="仿宋" w:eastAsia="仿宋" w:cs="仿宋"/>
          <w:sz w:val="32"/>
          <w:szCs w:val="32"/>
        </w:rPr>
        <w:t>“用学术讲政治”研究</w:t>
      </w:r>
    </w:p>
    <w:p>
      <w:pPr>
        <w:pStyle w:val="2"/>
        <w:widowControl/>
        <w:spacing w:beforeAutospacing="0" w:afterAutospacing="0"/>
        <w:jc w:val="both"/>
        <w:rPr>
          <w:rFonts w:hint="eastAsia" w:ascii="黑体" w:hAnsi="宋体" w:eastAsia="黑体"/>
          <w:bCs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/>
        <w:jc w:val="both"/>
        <w:rPr>
          <w:rFonts w:hint="eastAsia" w:ascii="黑体" w:hAnsi="宋体" w:eastAsia="黑体"/>
          <w:bCs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/>
        <w:jc w:val="both"/>
        <w:rPr>
          <w:rFonts w:hint="eastAsia" w:ascii="黑体" w:hAnsi="宋体" w:eastAsia="黑体"/>
          <w:bCs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/>
        <w:jc w:val="both"/>
        <w:rPr>
          <w:rFonts w:hint="eastAsia" w:ascii="黑体" w:hAnsi="宋体" w:eastAsia="黑体"/>
          <w:bCs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/>
        <w:jc w:val="both"/>
        <w:rPr>
          <w:rFonts w:hint="eastAsia" w:ascii="黑体" w:hAnsi="宋体" w:eastAsia="黑体"/>
          <w:bCs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/>
        <w:jc w:val="both"/>
        <w:rPr>
          <w:rFonts w:hint="eastAsia" w:ascii="黑体" w:hAnsi="宋体" w:eastAsia="黑体"/>
          <w:bCs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/>
        <w:jc w:val="both"/>
        <w:rPr>
          <w:rFonts w:hint="eastAsia" w:ascii="黑体" w:hAnsi="宋体" w:eastAsia="黑体"/>
          <w:bCs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/>
        <w:jc w:val="both"/>
        <w:rPr>
          <w:rFonts w:hint="eastAsia" w:ascii="黑体" w:hAnsi="宋体" w:eastAsia="黑体"/>
          <w:bCs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/>
        <w:jc w:val="both"/>
        <w:rPr>
          <w:rFonts w:hint="eastAsia" w:ascii="黑体" w:hAnsi="宋体" w:eastAsia="黑体"/>
          <w:bCs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/>
        <w:jc w:val="both"/>
        <w:rPr>
          <w:rFonts w:hint="eastAsia" w:ascii="黑体" w:hAnsi="宋体" w:eastAsia="黑体"/>
          <w:bCs/>
          <w:color w:val="000000"/>
          <w:sz w:val="32"/>
          <w:szCs w:val="32"/>
        </w:rPr>
      </w:pPr>
    </w:p>
    <w:p>
      <w:pPr>
        <w:pStyle w:val="2"/>
        <w:widowControl/>
        <w:spacing w:beforeAutospacing="0" w:afterAutospacing="0"/>
        <w:jc w:val="both"/>
        <w:rPr>
          <w:rFonts w:hint="eastAsia" w:ascii="黑体" w:hAnsi="宋体" w:eastAsia="黑体"/>
          <w:bCs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C6F65"/>
    <w:rsid w:val="3D5C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2019-05-10T07:48:00Z</dcterms:created>
  <dc:creator>善愿了</dc:creator>
  <cp:lastModifiedBy>善愿了</cp:lastModifiedBy>
  <dcterms:modified xsi:type="dcterms:W3CDTF">2019-05-10T07:48:38Z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